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A305E" w14:textId="3053B69F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376"/>
        <w:gridCol w:w="2037"/>
        <w:gridCol w:w="2726"/>
      </w:tblGrid>
      <w:tr w:rsidR="008F0429" w:rsidRPr="008F0429" w14:paraId="11E10FA4" w14:textId="77777777" w:rsidTr="008F0429">
        <w:trPr>
          <w:jc w:val="center"/>
        </w:trPr>
        <w:tc>
          <w:tcPr>
            <w:tcW w:w="2493" w:type="dxa"/>
            <w:shd w:val="clear" w:color="auto" w:fill="auto"/>
          </w:tcPr>
          <w:p w14:paraId="076E4C6F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 xml:space="preserve">NUMELE: </w:t>
            </w:r>
          </w:p>
          <w:p w14:paraId="2D770056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NOM: </w:t>
            </w:r>
          </w:p>
        </w:tc>
        <w:tc>
          <w:tcPr>
            <w:tcW w:w="2389" w:type="dxa"/>
            <w:shd w:val="clear" w:color="auto" w:fill="E6E6E6"/>
            <w:vAlign w:val="center"/>
          </w:tcPr>
          <w:p w14:paraId="4954BE0E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530BFE9E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CNP:</w:t>
            </w:r>
          </w:p>
          <w:p w14:paraId="0E33E3F2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lang w:val="en-US"/>
              </w:rPr>
              <w:t>CNP:</w:t>
            </w:r>
          </w:p>
        </w:tc>
        <w:tc>
          <w:tcPr>
            <w:tcW w:w="2741" w:type="dxa"/>
            <w:shd w:val="clear" w:color="auto" w:fill="E6E6E6"/>
            <w:vAlign w:val="center"/>
          </w:tcPr>
          <w:p w14:paraId="77BC67A5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0429" w:rsidRPr="008F0429" w14:paraId="636448F6" w14:textId="77777777" w:rsidTr="008F0429">
        <w:trPr>
          <w:jc w:val="center"/>
        </w:trPr>
        <w:tc>
          <w:tcPr>
            <w:tcW w:w="2493" w:type="dxa"/>
            <w:shd w:val="clear" w:color="auto" w:fill="auto"/>
          </w:tcPr>
          <w:p w14:paraId="0221D33C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 xml:space="preserve">INIȚIALA TATĂLUI: </w:t>
            </w:r>
            <w:r w:rsidRPr="008F0429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  <w:lang w:val="de-DE"/>
              </w:rPr>
              <w:t>INITIALE DU NOM DU PÈRE:</w:t>
            </w:r>
            <w:r w:rsidRPr="008F0429">
              <w:rPr>
                <w:rFonts w:ascii="Times New Roman" w:eastAsia="Times New Roman" w:hAnsi="Times New Roman" w:cs="Times New Roman"/>
                <w:i/>
                <w:lang w:val="de-DE"/>
              </w:rPr>
              <w:t xml:space="preserve"> </w:t>
            </w:r>
          </w:p>
        </w:tc>
        <w:tc>
          <w:tcPr>
            <w:tcW w:w="2389" w:type="dxa"/>
            <w:shd w:val="clear" w:color="auto" w:fill="E6E6E6"/>
            <w:vAlign w:val="center"/>
          </w:tcPr>
          <w:p w14:paraId="66B1514D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2037" w:type="dxa"/>
            <w:shd w:val="clear" w:color="auto" w:fill="auto"/>
          </w:tcPr>
          <w:p w14:paraId="3B88F322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DATA:</w:t>
            </w:r>
          </w:p>
          <w:p w14:paraId="0FE42902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lang w:val="en-US"/>
              </w:rPr>
              <w:t>DATE:</w:t>
            </w:r>
          </w:p>
        </w:tc>
        <w:tc>
          <w:tcPr>
            <w:tcW w:w="2741" w:type="dxa"/>
            <w:shd w:val="clear" w:color="auto" w:fill="E6E6E6"/>
            <w:vAlign w:val="center"/>
          </w:tcPr>
          <w:p w14:paraId="3F05FA68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0429" w:rsidRPr="008F0429" w14:paraId="73E9D2E9" w14:textId="77777777" w:rsidTr="008F0429">
        <w:trPr>
          <w:jc w:val="center"/>
        </w:trPr>
        <w:tc>
          <w:tcPr>
            <w:tcW w:w="2493" w:type="dxa"/>
            <w:shd w:val="clear" w:color="auto" w:fill="auto"/>
          </w:tcPr>
          <w:p w14:paraId="194FF5C3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PRENUMELE:</w:t>
            </w:r>
          </w:p>
          <w:p w14:paraId="2B93FF00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lang w:val="en-US"/>
              </w:rPr>
              <w:t>PRÉNOM:</w:t>
            </w:r>
          </w:p>
        </w:tc>
        <w:tc>
          <w:tcPr>
            <w:tcW w:w="2389" w:type="dxa"/>
            <w:shd w:val="clear" w:color="auto" w:fill="E6E6E6"/>
            <w:vAlign w:val="center"/>
          </w:tcPr>
          <w:p w14:paraId="67AA6F93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10874CAC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SEMNĂTURA CANDIDATULUI:</w:t>
            </w:r>
          </w:p>
          <w:p w14:paraId="31951609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lang w:val="en-US"/>
              </w:rPr>
              <w:t>SIGNATURE:</w:t>
            </w:r>
          </w:p>
        </w:tc>
        <w:tc>
          <w:tcPr>
            <w:tcW w:w="2741" w:type="dxa"/>
            <w:shd w:val="clear" w:color="auto" w:fill="E6E6E6"/>
            <w:vAlign w:val="center"/>
          </w:tcPr>
          <w:p w14:paraId="3F7B2FE9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C4D299B" w14:textId="77777777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67420DFA" w14:textId="7F382ADA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8F042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ESSAI - EXAMEN D’ENTRÉE 202</w:t>
      </w:r>
      <w:r w:rsidR="00254B0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</w:t>
      </w:r>
    </w:p>
    <w:p w14:paraId="6C1F1499" w14:textId="77777777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UNIVERSITÉ BABEŞ-</w:t>
      </w:r>
      <w:proofErr w:type="gram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BOLYAI  CLUJ</w:t>
      </w:r>
      <w:proofErr w:type="gram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-NAPOCA  </w:t>
      </w:r>
    </w:p>
    <w:p w14:paraId="7F66172E" w14:textId="77777777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FACULTÉ DE SCIENCES ÉCONOMIQUES ET DE GESTION DES AFFAIRES </w:t>
      </w:r>
    </w:p>
    <w:p w14:paraId="0A944B9B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 (12pt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ligne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libre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)</w:t>
      </w:r>
    </w:p>
    <w:p w14:paraId="76253194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(12pt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ligne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libre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)</w:t>
      </w:r>
    </w:p>
    <w:p w14:paraId="0BEBE46B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</w:pPr>
      <w:proofErr w:type="spell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Quel</w:t>
      </w:r>
      <w:proofErr w:type="spell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proofErr w:type="spellStart"/>
      <w:proofErr w:type="gram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est</w:t>
      </w:r>
      <w:proofErr w:type="spellEnd"/>
      <w:proofErr w:type="gram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le </w:t>
      </w:r>
      <w:proofErr w:type="spell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rôle</w:t>
      </w:r>
      <w:proofErr w:type="spell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de </w:t>
      </w:r>
      <w:proofErr w:type="spell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l’économiste</w:t>
      </w:r>
      <w:proofErr w:type="spell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dans</w:t>
      </w:r>
      <w:proofErr w:type="spell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la </w:t>
      </w:r>
      <w:proofErr w:type="spell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société</w:t>
      </w:r>
      <w:proofErr w:type="spell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?</w:t>
      </w:r>
    </w:p>
    <w:p w14:paraId="73A694D7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(12pt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ligne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libre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)</w:t>
      </w:r>
    </w:p>
    <w:p w14:paraId="58A8F03E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Texte de la première partie de l’essai....</w:t>
      </w:r>
    </w:p>
    <w:p w14:paraId="64156957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Texte de la première partie de l’essai....</w:t>
      </w:r>
    </w:p>
    <w:p w14:paraId="2477213F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de-DE"/>
        </w:rPr>
      </w:pPr>
    </w:p>
    <w:p w14:paraId="09434448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(12pt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ligne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libre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)</w:t>
      </w:r>
    </w:p>
    <w:p w14:paraId="749F4230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(12pt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ligne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libre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)</w:t>
      </w:r>
    </w:p>
    <w:p w14:paraId="1CBB28F2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31E88FB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</w:pPr>
      <w:proofErr w:type="spell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Pourquoi</w:t>
      </w:r>
      <w:proofErr w:type="spell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ai</w:t>
      </w:r>
      <w:proofErr w:type="spell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-je </w:t>
      </w:r>
      <w:proofErr w:type="spellStart"/>
      <w:proofErr w:type="gram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choisi</w:t>
      </w:r>
      <w:proofErr w:type="spell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 FSEGA</w:t>
      </w:r>
      <w:proofErr w:type="gram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Cluj-Napoca?</w:t>
      </w:r>
    </w:p>
    <w:p w14:paraId="5579E072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(12pt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ligne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libre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)</w:t>
      </w:r>
    </w:p>
    <w:p w14:paraId="3FA45865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Texte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correspondant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à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cette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partie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de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l’essai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…</w:t>
      </w:r>
    </w:p>
    <w:p w14:paraId="1EDFF282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Texte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correspondant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à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cette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partie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de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l’essai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…</w:t>
      </w:r>
    </w:p>
    <w:p w14:paraId="10673A93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</w:p>
    <w:p w14:paraId="633EC89B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(12pt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ligne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libre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)</w:t>
      </w:r>
    </w:p>
    <w:p w14:paraId="7AA2CCC7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(12pt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ligne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libre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)</w:t>
      </w:r>
    </w:p>
    <w:p w14:paraId="5296F2C4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</w:pPr>
      <w:proofErr w:type="spell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Pourquoi</w:t>
      </w:r>
      <w:proofErr w:type="spell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proofErr w:type="spellStart"/>
      <w:proofErr w:type="gram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suis</w:t>
      </w:r>
      <w:proofErr w:type="spell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-</w:t>
      </w:r>
      <w:proofErr w:type="gram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je fait pour le métier </w:t>
      </w:r>
      <w:proofErr w:type="spell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d’économiste</w:t>
      </w:r>
      <w:proofErr w:type="spell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?</w:t>
      </w:r>
    </w:p>
    <w:p w14:paraId="03EC2871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(12pt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ligne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libre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)</w:t>
      </w:r>
    </w:p>
    <w:p w14:paraId="15D8255C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Texte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correspondant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à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cette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partie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de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l’essai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…</w:t>
      </w:r>
    </w:p>
    <w:p w14:paraId="201DF7A4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Texte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correspondant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à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cette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partie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de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l’essai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…</w:t>
      </w:r>
    </w:p>
    <w:p w14:paraId="38B2116A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(12pt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ligne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libre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)</w:t>
      </w:r>
    </w:p>
    <w:p w14:paraId="2252EA40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(12pt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ligne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libre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)</w:t>
      </w:r>
    </w:p>
    <w:p w14:paraId="61F14B73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0E86F72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</w:pPr>
      <w:proofErr w:type="spell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Références</w:t>
      </w:r>
      <w:proofErr w:type="spellEnd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bibliographiques</w:t>
      </w:r>
      <w:proofErr w:type="spellEnd"/>
    </w:p>
    <w:p w14:paraId="700814C5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(12pt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ligne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libre</w:t>
      </w:r>
      <w:proofErr w:type="spellEnd"/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)</w:t>
      </w:r>
    </w:p>
    <w:p w14:paraId="0111B7CB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Les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références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bibliographiques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doivent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se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présenter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par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ordre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alphabétique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selon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le premier auteur. La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liste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des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références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bibliographiques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ne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doit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pas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être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incluse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dans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les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deux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pages de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l’essai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gram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et</w:t>
      </w:r>
      <w:proofErr w:type="gram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elle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ne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doit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pas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dépasser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une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page,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conformément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à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format de page.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Respectez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les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modalités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de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présentation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de la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liste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bibliographique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comme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gram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suit :</w:t>
      </w:r>
      <w:proofErr w:type="gramEnd"/>
    </w:p>
    <w:p w14:paraId="1FC486E5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</w:p>
    <w:p w14:paraId="5177AFBF" w14:textId="77777777" w:rsidR="008F0429" w:rsidRPr="008F0429" w:rsidRDefault="008F0429" w:rsidP="008F0429">
      <w:pPr>
        <w:ind w:left="720" w:hanging="720"/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Kaplan R.S. (2010),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Organization’s objectives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,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disponible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en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ligne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hyperlink r:id="rId9" w:history="1">
        <w:r w:rsidRPr="008F0429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en-US"/>
          </w:rPr>
          <w:t>www.papersonline.com</w:t>
        </w:r>
      </w:hyperlink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consulté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le 12.04.2013  </w:t>
      </w:r>
    </w:p>
    <w:p w14:paraId="779E0C56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(12pt)</w:t>
      </w:r>
    </w:p>
    <w:p w14:paraId="054C2E97" w14:textId="77777777" w:rsidR="008F0429" w:rsidRPr="008F0429" w:rsidRDefault="008F0429" w:rsidP="008F0429">
      <w:pPr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Kaplan R.S., Norton D.P. (2004),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How strategy maps frame an organization’s objectives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, Journal of Accounting Research, Vol. 20, No. 2, p. 40-45</w:t>
      </w:r>
    </w:p>
    <w:p w14:paraId="56A40755" w14:textId="77777777" w:rsidR="008F0429" w:rsidRPr="008F0429" w:rsidRDefault="008F0429" w:rsidP="008F0429">
      <w:pPr>
        <w:tabs>
          <w:tab w:val="left" w:pos="720"/>
        </w:tabs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(12pt)</w:t>
      </w:r>
    </w:p>
    <w:p w14:paraId="6DBA35B9" w14:textId="77777777" w:rsidR="008F0429" w:rsidRPr="008F0429" w:rsidRDefault="008F0429" w:rsidP="008F0429">
      <w:pP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Matiş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D. (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coord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),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Bazele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contabilităţii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.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Fundamente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si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premise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pentru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gram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un</w:t>
      </w:r>
      <w:proofErr w:type="gram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rationament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profesional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autentic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,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Editura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Casa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Cărtii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de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Stiintă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,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Cluj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Napoca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, 2010 (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Les bases de la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comptabilité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.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Fondements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gram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et</w:t>
      </w:r>
      <w:proofErr w:type="gram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prémisses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pour un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raisonnement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professionnel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authentique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)</w:t>
      </w:r>
    </w:p>
    <w:p w14:paraId="1BABDEFD" w14:textId="77777777" w:rsidR="008F0429" w:rsidRPr="008F0429" w:rsidRDefault="008F0429" w:rsidP="008F0429">
      <w:pPr>
        <w:tabs>
          <w:tab w:val="left" w:pos="720"/>
        </w:tabs>
        <w:ind w:left="720" w:hanging="720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(12pt)</w:t>
      </w:r>
    </w:p>
    <w:p w14:paraId="2B964F3A" w14:textId="77777777" w:rsidR="008F0429" w:rsidRPr="008F0429" w:rsidRDefault="008F0429" w:rsidP="008F0429">
      <w:pP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lastRenderedPageBreak/>
        <w:t>Popa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I.E.,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Ienciu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A.,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Inventarierea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elementelor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de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natura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activelor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,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datoriilor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si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capitalurilor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proprii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, 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in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Matiş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D. (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coord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),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Bazele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contabilităţii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.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Fundamente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si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premise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pentru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gram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un</w:t>
      </w:r>
      <w:proofErr w:type="gram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rationament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profesional</w:t>
      </w:r>
      <w:proofErr w:type="spellEnd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autentic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,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Editura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Casa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Cărtii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de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Stiintă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,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Cluj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Napoca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, 2010, p. 349-358</w:t>
      </w:r>
    </w:p>
    <w:p w14:paraId="406A2A34" w14:textId="77777777" w:rsidR="008F0429" w:rsidRPr="008F0429" w:rsidRDefault="008F0429" w:rsidP="008F0429">
      <w:pP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US"/>
        </w:rPr>
        <w:t>(12pt)</w:t>
      </w:r>
    </w:p>
    <w:p w14:paraId="43E1E754" w14:textId="77777777" w:rsidR="008F0429" w:rsidRPr="008F0429" w:rsidRDefault="008F0429" w:rsidP="008F0429">
      <w:pPr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* * *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ab/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Reglementări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contabile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situaţiile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anuale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situaţiile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anuale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consolidate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,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aprobate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prin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OMFP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nr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. 1802/2014, cu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modificările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ulterioare</w:t>
      </w:r>
      <w:proofErr w:type="spellEnd"/>
    </w:p>
    <w:p w14:paraId="4C746492" w14:textId="77777777" w:rsidR="008F0429" w:rsidRPr="008F0429" w:rsidRDefault="008F0429" w:rsidP="008F0429">
      <w:pPr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ab/>
        <w:t>(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Règlements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comptables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concernant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les situations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financières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individuelles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et les situations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financières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annuelles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consolidées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approuvées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par OMFP no. 1802/2014, avec les modifications </w:t>
      </w:r>
      <w:proofErr w:type="spellStart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ultérieures</w:t>
      </w:r>
      <w:proofErr w:type="spellEnd"/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)</w:t>
      </w:r>
    </w:p>
    <w:p w14:paraId="284313D3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</w:p>
    <w:p w14:paraId="305C56E0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</w:p>
    <w:p w14:paraId="617DA551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</w:p>
    <w:p w14:paraId="2C3BFB61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</w:p>
    <w:p w14:paraId="142781BF" w14:textId="77777777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F0429" w:rsidRPr="008F0429">
      <w:footerReference w:type="default" r:id="rId10"/>
      <w:footerReference w:type="first" r:id="rId11"/>
      <w:pgSz w:w="11906" w:h="16838"/>
      <w:pgMar w:top="851" w:right="1134" w:bottom="851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F3B69" w14:textId="77777777" w:rsidR="00755188" w:rsidRDefault="00755188">
      <w:r>
        <w:separator/>
      </w:r>
    </w:p>
  </w:endnote>
  <w:endnote w:type="continuationSeparator" w:id="0">
    <w:p w14:paraId="04922D6F" w14:textId="77777777" w:rsidR="00755188" w:rsidRDefault="0075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DB5D1" w14:textId="06452A7B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 xml:space="preserve">Pagina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PAGE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2C0EDA">
      <w:rPr>
        <w:rFonts w:ascii="Georgia" w:eastAsia="Georgia" w:hAnsi="Georgia" w:cs="Georgia"/>
        <w:noProof/>
        <w:color w:val="000000"/>
        <w:sz w:val="16"/>
        <w:szCs w:val="16"/>
      </w:rPr>
      <w:t>2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  <w:r>
      <w:rPr>
        <w:rFonts w:ascii="Georgia" w:eastAsia="Georgia" w:hAnsi="Georgia" w:cs="Georgia"/>
        <w:color w:val="000000"/>
        <w:sz w:val="16"/>
        <w:szCs w:val="16"/>
      </w:rPr>
      <w:t xml:space="preserve"> din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NUMPAGES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2C0EDA">
      <w:rPr>
        <w:rFonts w:ascii="Georgia" w:eastAsia="Georgia" w:hAnsi="Georgia" w:cs="Georgia"/>
        <w:noProof/>
        <w:color w:val="000000"/>
        <w:sz w:val="16"/>
        <w:szCs w:val="16"/>
      </w:rPr>
      <w:t>2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</w:p>
  <w:p w14:paraId="517504E4" w14:textId="77777777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C578F" w14:textId="6720CDF5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 xml:space="preserve">Pagina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PAGE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2C0EDA">
      <w:rPr>
        <w:rFonts w:ascii="Georgia" w:eastAsia="Georgia" w:hAnsi="Georgia" w:cs="Georgia"/>
        <w:noProof/>
        <w:color w:val="000000"/>
        <w:sz w:val="16"/>
        <w:szCs w:val="16"/>
      </w:rPr>
      <w:t>1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  <w:r>
      <w:rPr>
        <w:rFonts w:ascii="Georgia" w:eastAsia="Georgia" w:hAnsi="Georgia" w:cs="Georgia"/>
        <w:color w:val="000000"/>
        <w:sz w:val="16"/>
        <w:szCs w:val="16"/>
      </w:rPr>
      <w:t xml:space="preserve"> din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NUMPAGES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2C0EDA">
      <w:rPr>
        <w:rFonts w:ascii="Georgia" w:eastAsia="Georgia" w:hAnsi="Georgia" w:cs="Georgia"/>
        <w:noProof/>
        <w:color w:val="000000"/>
        <w:sz w:val="16"/>
        <w:szCs w:val="16"/>
      </w:rPr>
      <w:t>2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</w:p>
  <w:p w14:paraId="41F7DCB8" w14:textId="77777777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A367E" w14:textId="77777777" w:rsidR="00755188" w:rsidRDefault="00755188">
      <w:r>
        <w:separator/>
      </w:r>
    </w:p>
  </w:footnote>
  <w:footnote w:type="continuationSeparator" w:id="0">
    <w:p w14:paraId="3BA99D19" w14:textId="77777777" w:rsidR="00755188" w:rsidRDefault="0075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6F96"/>
    <w:multiLevelType w:val="multilevel"/>
    <w:tmpl w:val="55120BAE"/>
    <w:lvl w:ilvl="0">
      <w:start w:val="1"/>
      <w:numFmt w:val="bullet"/>
      <w:lvlText w:val="●"/>
      <w:lvlJc w:val="left"/>
      <w:pPr>
        <w:ind w:left="49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7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4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1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8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5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3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0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75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C973DA"/>
    <w:multiLevelType w:val="hybridMultilevel"/>
    <w:tmpl w:val="976CA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023A"/>
    <w:multiLevelType w:val="multilevel"/>
    <w:tmpl w:val="4648B47C"/>
    <w:lvl w:ilvl="0">
      <w:start w:val="1"/>
      <w:numFmt w:val="bullet"/>
      <w:lvlText w:val="-"/>
      <w:lvlJc w:val="left"/>
      <w:pPr>
        <w:ind w:left="1429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2C34CA"/>
    <w:multiLevelType w:val="multilevel"/>
    <w:tmpl w:val="B5540910"/>
    <w:lvl w:ilvl="0">
      <w:start w:val="1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5278CA"/>
    <w:multiLevelType w:val="multilevel"/>
    <w:tmpl w:val="85EC57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0AE6AD0"/>
    <w:multiLevelType w:val="multilevel"/>
    <w:tmpl w:val="06D21ED2"/>
    <w:lvl w:ilvl="0">
      <w:start w:val="5"/>
      <w:numFmt w:val="decimal"/>
      <w:lvlText w:val="%1"/>
      <w:lvlJc w:val="left"/>
      <w:pPr>
        <w:ind w:left="504" w:hanging="504"/>
      </w:pPr>
      <w:rPr>
        <w:b/>
      </w:rPr>
    </w:lvl>
    <w:lvl w:ilvl="1">
      <w:start w:val="4"/>
      <w:numFmt w:val="decimal"/>
      <w:lvlText w:val="%1.%2"/>
      <w:lvlJc w:val="left"/>
      <w:pPr>
        <w:ind w:left="504" w:hanging="504"/>
      </w:pPr>
      <w:rPr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" w15:restartNumberingAfterBreak="0">
    <w:nsid w:val="558B7A86"/>
    <w:multiLevelType w:val="hybridMultilevel"/>
    <w:tmpl w:val="23140A88"/>
    <w:lvl w:ilvl="0" w:tplc="44303C8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90D44"/>
    <w:multiLevelType w:val="multilevel"/>
    <w:tmpl w:val="1C3EED8E"/>
    <w:lvl w:ilvl="0">
      <w:start w:val="1"/>
      <w:numFmt w:val="lowerLetter"/>
      <w:lvlText w:val="%1)"/>
      <w:lvlJc w:val="left"/>
      <w:pPr>
        <w:ind w:left="720" w:hanging="360"/>
      </w:pPr>
      <w:rPr>
        <w:rFonts w:ascii="Georgia" w:eastAsia="Arial" w:hAnsi="Georgia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94"/>
    <w:rsid w:val="00034ABD"/>
    <w:rsid w:val="000E2F4B"/>
    <w:rsid w:val="0011729B"/>
    <w:rsid w:val="00121FF6"/>
    <w:rsid w:val="001D6E30"/>
    <w:rsid w:val="00254B0D"/>
    <w:rsid w:val="002C0EDA"/>
    <w:rsid w:val="003058E9"/>
    <w:rsid w:val="003A74A1"/>
    <w:rsid w:val="003C7715"/>
    <w:rsid w:val="00403930"/>
    <w:rsid w:val="00447A9C"/>
    <w:rsid w:val="004934BC"/>
    <w:rsid w:val="004F6F30"/>
    <w:rsid w:val="005210A4"/>
    <w:rsid w:val="00573A49"/>
    <w:rsid w:val="005E3FE8"/>
    <w:rsid w:val="005F3786"/>
    <w:rsid w:val="006341F7"/>
    <w:rsid w:val="00634D88"/>
    <w:rsid w:val="00637ABA"/>
    <w:rsid w:val="006679A1"/>
    <w:rsid w:val="00747F53"/>
    <w:rsid w:val="00751500"/>
    <w:rsid w:val="00755188"/>
    <w:rsid w:val="007622FD"/>
    <w:rsid w:val="007674F0"/>
    <w:rsid w:val="007B132B"/>
    <w:rsid w:val="00842C9A"/>
    <w:rsid w:val="00870089"/>
    <w:rsid w:val="008739CA"/>
    <w:rsid w:val="008F0429"/>
    <w:rsid w:val="00913A20"/>
    <w:rsid w:val="00A007A3"/>
    <w:rsid w:val="00A10A82"/>
    <w:rsid w:val="00A15F2D"/>
    <w:rsid w:val="00A33405"/>
    <w:rsid w:val="00AF449C"/>
    <w:rsid w:val="00B77F79"/>
    <w:rsid w:val="00BC287C"/>
    <w:rsid w:val="00BF0DB4"/>
    <w:rsid w:val="00C12FCF"/>
    <w:rsid w:val="00C137F7"/>
    <w:rsid w:val="00C228B2"/>
    <w:rsid w:val="00C43F69"/>
    <w:rsid w:val="00C97A1F"/>
    <w:rsid w:val="00CB59B4"/>
    <w:rsid w:val="00D15B3E"/>
    <w:rsid w:val="00D16326"/>
    <w:rsid w:val="00D664CC"/>
    <w:rsid w:val="00D76526"/>
    <w:rsid w:val="00EF01ED"/>
    <w:rsid w:val="00F13E73"/>
    <w:rsid w:val="00F31C17"/>
    <w:rsid w:val="00F32F6F"/>
    <w:rsid w:val="00F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BA5A"/>
  <w15:docId w15:val="{59C8A970-9762-4876-A222-86CAE560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="Lucida Sans" w:hAnsi="Lucida Sans" w:cs="Lucida Sans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4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D642F"/>
    <w:pPr>
      <w:keepNext/>
      <w:jc w:val="left"/>
      <w:outlineLvl w:val="1"/>
    </w:pPr>
    <w:rPr>
      <w:rFonts w:ascii="Times New Roman" w:eastAsia="Times New Roman" w:hAnsi="Times New Roman"/>
      <w:b/>
      <w:sz w:val="20"/>
      <w:szCs w:val="20"/>
      <w:lang w:val="en-GB" w:eastAsia="x-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D642F"/>
    <w:pPr>
      <w:keepNext/>
      <w:outlineLvl w:val="3"/>
    </w:pPr>
    <w:rPr>
      <w:rFonts w:ascii="Arial" w:eastAsia="Times New Roman" w:hAnsi="Arial"/>
      <w:b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642F"/>
    <w:pPr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D98"/>
    <w:rPr>
      <w:rFonts w:ascii="Calibri" w:eastAsia="Calibri" w:hAnsi="Calibri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DD642F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DD642F"/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link w:val="Title"/>
    <w:rsid w:val="00DD642F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rsid w:val="00DD642F"/>
    <w:pPr>
      <w:spacing w:before="100" w:after="100"/>
      <w:jc w:val="left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D642F"/>
    <w:pPr>
      <w:spacing w:before="120"/>
    </w:pPr>
    <w:rPr>
      <w:rFonts w:ascii="Arial" w:eastAsia="Times New Roman" w:hAnsi="Arial"/>
      <w:b/>
      <w:sz w:val="28"/>
      <w:szCs w:val="20"/>
      <w:lang w:val="en-US" w:eastAsia="x-none"/>
    </w:rPr>
  </w:style>
  <w:style w:type="character" w:customStyle="1" w:styleId="BodyText3Char">
    <w:name w:val="Body Text 3 Char"/>
    <w:link w:val="BodyText3"/>
    <w:rsid w:val="00DD642F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Strong">
    <w:name w:val="Strong"/>
    <w:qFormat/>
    <w:rsid w:val="00DD642F"/>
    <w:rPr>
      <w:b/>
      <w:bCs/>
    </w:rPr>
  </w:style>
  <w:style w:type="paragraph" w:customStyle="1" w:styleId="NormalWeb2">
    <w:name w:val="Normal (Web)2"/>
    <w:basedOn w:val="Normal"/>
    <w:rsid w:val="00DD642F"/>
    <w:pPr>
      <w:spacing w:before="86" w:after="86"/>
      <w:ind w:left="86" w:right="86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DefaultParagraphFont"/>
    <w:rsid w:val="00DD64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29573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0C"/>
  </w:style>
  <w:style w:type="paragraph" w:styleId="Footer">
    <w:name w:val="footer"/>
    <w:basedOn w:val="Normal"/>
    <w:link w:val="FooterChar"/>
    <w:uiPriority w:val="99"/>
    <w:unhideWhenUsed/>
    <w:rsid w:val="00506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0C"/>
  </w:style>
  <w:style w:type="character" w:styleId="CommentReference">
    <w:name w:val="annotation reference"/>
    <w:uiPriority w:val="99"/>
    <w:semiHidden/>
    <w:unhideWhenUsed/>
    <w:rsid w:val="00E46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F0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46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F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F0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4350F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350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0A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apers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7xGm9Zq1MwDdU82F9SOJYQITw==">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CD9C28-B807-4521-9E07-6E83DEDE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Molnar Aniko</dc:creator>
  <cp:lastModifiedBy>Andreea Borca</cp:lastModifiedBy>
  <cp:revision>3</cp:revision>
  <cp:lastPrinted>2022-04-14T12:08:00Z</cp:lastPrinted>
  <dcterms:created xsi:type="dcterms:W3CDTF">2022-05-17T07:15:00Z</dcterms:created>
  <dcterms:modified xsi:type="dcterms:W3CDTF">2022-05-17T07:16:00Z</dcterms:modified>
</cp:coreProperties>
</file>